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A2DF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Березовского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4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FE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A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660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7D3541" w:rsidRPr="007D3541" w:rsidRDefault="00BA2DF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</w:p>
    <w:p w:rsidR="0039544D" w:rsidRDefault="00800FE6" w:rsidP="00800FE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</w:t>
      </w:r>
      <w:proofErr w:type="gramEnd"/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r w:rsidR="00BA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Березовского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A2DFE" w:rsidRP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39544D" w:rsidRPr="00BA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 w:rsidRPr="00BA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BA2DFE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BA2DFE" w:rsidRP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39544D" w:rsidRPr="00BA2DFE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прилагаемый Порядок рассмотрения и реализации инициативных проектов, а также проведения их конкурсного отбора в 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800FE6" w:rsidRPr="00BA2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DFE" w:rsidRPr="0018356F" w:rsidRDefault="00E74C84" w:rsidP="00BA2DF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2DFE" w:rsidRPr="0018356F">
        <w:rPr>
          <w:rFonts w:ascii="Times New Roman" w:eastAsia="Calibri" w:hAnsi="Times New Roman" w:cs="Times New Roman"/>
          <w:sz w:val="28"/>
          <w:szCs w:val="28"/>
        </w:rPr>
        <w:t>Опубликовать  настоящее</w:t>
      </w:r>
      <w:proofErr w:type="gramEnd"/>
      <w:r w:rsidR="00BA2DFE" w:rsidRPr="0018356F">
        <w:rPr>
          <w:rFonts w:ascii="Times New Roman" w:eastAsia="Calibri" w:hAnsi="Times New Roman" w:cs="Times New Roman"/>
          <w:sz w:val="28"/>
          <w:szCs w:val="28"/>
        </w:rPr>
        <w:t xml:space="preserve"> решение  в Вестнике нормативно-правовых актов  Березовского сельского поселения Бутурлиновского муниципального района Воронежской области  и разместить в сети «Интернет» на официальном сайте органов местного самоуправления Березовского сельского поселения и обнародовать настоящее решение на территории Березовского сельского поселения.</w:t>
      </w:r>
    </w:p>
    <w:p w:rsidR="007E4BEE" w:rsidRPr="00941D5A" w:rsidRDefault="007E4BE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DFE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BA2DFE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Березовского</w:t>
      </w:r>
    </w:p>
    <w:p w:rsidR="0039544D" w:rsidRPr="00BA2DFE" w:rsidRDefault="00BA2DFE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Дьяченков</w:t>
      </w:r>
      <w:proofErr w:type="spellEnd"/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BA2DFE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BA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BA2DFE">
        <w:rPr>
          <w:rFonts w:ascii="Times New Roman" w:eastAsia="Calibri" w:hAnsi="Times New Roman" w:cs="Times New Roman"/>
          <w:sz w:val="28"/>
          <w:szCs w:val="28"/>
        </w:rPr>
        <w:t>31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BA2DFE">
        <w:rPr>
          <w:rFonts w:ascii="Times New Roman" w:eastAsia="Calibri" w:hAnsi="Times New Roman" w:cs="Times New Roman"/>
          <w:sz w:val="28"/>
          <w:szCs w:val="28"/>
        </w:rPr>
        <w:t>ма</w:t>
      </w:r>
      <w:r w:rsidR="0071624D">
        <w:rPr>
          <w:rFonts w:ascii="Times New Roman" w:eastAsia="Calibri" w:hAnsi="Times New Roman" w:cs="Times New Roman"/>
          <w:sz w:val="28"/>
          <w:szCs w:val="28"/>
        </w:rPr>
        <w:t>я</w:t>
      </w:r>
      <w:bookmarkStart w:id="0" w:name="_GoBack"/>
      <w:bookmarkEnd w:id="0"/>
      <w:r w:rsidR="00BA2DFE">
        <w:rPr>
          <w:rFonts w:ascii="Times New Roman" w:eastAsia="Calibri" w:hAnsi="Times New Roman" w:cs="Times New Roman"/>
          <w:sz w:val="28"/>
          <w:szCs w:val="28"/>
        </w:rPr>
        <w:t xml:space="preserve">  2021</w:t>
      </w:r>
      <w:proofErr w:type="gramEnd"/>
      <w:r w:rsidR="00BA2DFE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B4660A">
        <w:rPr>
          <w:rFonts w:ascii="Times New Roman" w:eastAsia="Calibri" w:hAnsi="Times New Roman" w:cs="Times New Roman"/>
          <w:sz w:val="28"/>
          <w:szCs w:val="28"/>
        </w:rPr>
        <w:t>39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Pr="00800FE6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BA2DFE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района  регулирует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сельском поселении Бутурлиновского муниципального района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далее - Порядок) разработан в целях проведения мероприятий, имеющих приоритетное значение для  жителей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2.1. Под инициативным проектом в настоящем Порядке понимается предложение   жителей сельского (городского)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поселения  о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для  жителей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 xml:space="preserve">7) указание на объем средств бюджета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800F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800FE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9) ориентировочное количество потенциальных</w:t>
      </w:r>
      <w:r w:rsidR="00BA2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Березовского сельского поселения Бутурлиновского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gramStart"/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3) вносят инициативный проект в администрацию </w:t>
      </w:r>
      <w:proofErr w:type="spellStart"/>
      <w:r w:rsidR="00FA0976">
        <w:rPr>
          <w:rFonts w:ascii="Times New Roman" w:hAnsi="Times New Roman" w:cs="Times New Roman"/>
          <w:sz w:val="28"/>
          <w:szCs w:val="28"/>
        </w:rPr>
        <w:t>посления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>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4) участвуют в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контроле  за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FA0976">
        <w:rPr>
          <w:rFonts w:ascii="Times New Roman" w:hAnsi="Times New Roman" w:cs="Times New Roman"/>
          <w:sz w:val="28"/>
          <w:szCs w:val="28"/>
        </w:rPr>
        <w:t>Березовского сельского поселения</w:t>
      </w:r>
      <w:r w:rsidRPr="00F27A32">
        <w:rPr>
          <w:rFonts w:ascii="Times New Roman" w:hAnsi="Times New Roman" w:cs="Times New Roman"/>
          <w:sz w:val="28"/>
          <w:szCs w:val="28"/>
        </w:rPr>
        <w:t>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</w:t>
      </w:r>
      <w:r w:rsidR="00BA2DFE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F27A32">
        <w:rPr>
          <w:rFonts w:ascii="Times New Roman" w:hAnsi="Times New Roman" w:cs="Times New Roman"/>
          <w:sz w:val="28"/>
          <w:szCs w:val="28"/>
        </w:rPr>
        <w:lastRenderedPageBreak/>
        <w:t>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Инициативный проект до его внесения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</w:t>
      </w:r>
      <w:r w:rsidR="00637C0F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.2. Собрание проводится на части территории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в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интересах  жителей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целом, может быть проведено несколько собраний на разных частях территории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района  должны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5) способы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информирования  жителей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</w:t>
      </w:r>
      <w:proofErr w:type="gram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сведения о проведении собрания, в том числе о порядке ознакомления с инициативным проектом, на официальном сайте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</w:t>
      </w:r>
      <w:proofErr w:type="gramStart"/>
      <w:r w:rsidR="00F27A32" w:rsidRPr="00F27A32">
        <w:rPr>
          <w:rFonts w:ascii="Times New Roman" w:hAnsi="Times New Roman" w:cs="Times New Roman"/>
          <w:sz w:val="28"/>
          <w:szCs w:val="28"/>
        </w:rPr>
        <w:t>в  администрацию</w:t>
      </w:r>
      <w:proofErr w:type="gramEnd"/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</w:t>
      </w:r>
      <w:proofErr w:type="gram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назначить уполномоченного представителя в целях оказания инициатору проекта содействия в проведении собрания. О назначении уполномоченного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lastRenderedPageBreak/>
        <w:t>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</w:t>
      </w:r>
      <w:r w:rsidR="00BA2DFE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>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.1. В случае, если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число  жителей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.2. Выборы и выдвижение делегатов на конференцию проводятся на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собраниях  жителей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  группы </w:t>
      </w:r>
      <w:r w:rsidRPr="002263F1">
        <w:rPr>
          <w:rFonts w:ascii="Times New Roman" w:hAnsi="Times New Roman" w:cs="Times New Roman"/>
          <w:sz w:val="28"/>
          <w:szCs w:val="28"/>
          <w:highlight w:val="yellow"/>
        </w:rPr>
        <w:t>квартир, подъездов, дома или</w:t>
      </w:r>
      <w:r w:rsidRPr="002263F1">
        <w:rPr>
          <w:rFonts w:ascii="Times New Roman" w:hAnsi="Times New Roman" w:cs="Times New Roman"/>
          <w:sz w:val="28"/>
          <w:szCs w:val="28"/>
        </w:rPr>
        <w:t xml:space="preserve"> группы домов либо в форме сбора подписей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.3. По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инициативе  жителей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</w:t>
      </w:r>
      <w:r w:rsidRPr="002263F1">
        <w:rPr>
          <w:rFonts w:ascii="Times New Roman" w:hAnsi="Times New Roman" w:cs="Times New Roman"/>
          <w:sz w:val="28"/>
          <w:szCs w:val="28"/>
        </w:rPr>
        <w:lastRenderedPageBreak/>
        <w:t>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 xml:space="preserve">жителей сельского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поселения</w:t>
      </w:r>
      <w:r w:rsidRPr="002263F1">
        <w:rPr>
          <w:rFonts w:ascii="Times New Roman" w:hAnsi="Times New Roman" w:cs="Times New Roman"/>
          <w:sz w:val="28"/>
          <w:szCs w:val="28"/>
          <w:highlight w:val="yellow"/>
        </w:rPr>
        <w:t>,  квартир</w:t>
      </w:r>
      <w:proofErr w:type="gramEnd"/>
      <w:r w:rsidRPr="002263F1">
        <w:rPr>
          <w:rFonts w:ascii="Times New Roman" w:hAnsi="Times New Roman" w:cs="Times New Roman"/>
          <w:sz w:val="28"/>
          <w:szCs w:val="28"/>
          <w:highlight w:val="yellow"/>
        </w:rPr>
        <w:t>, подъездов,</w:t>
      </w:r>
      <w:r w:rsidRPr="002263F1">
        <w:rPr>
          <w:rFonts w:ascii="Times New Roman" w:hAnsi="Times New Roman" w:cs="Times New Roman"/>
          <w:sz w:val="28"/>
          <w:szCs w:val="28"/>
        </w:rPr>
        <w:t xml:space="preserve"> дома или группы домов, улицы, 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 xml:space="preserve">жителей сельского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поселения  территории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9F2107">
        <w:rPr>
          <w:rFonts w:ascii="Times New Roman" w:hAnsi="Times New Roman" w:cs="Times New Roman"/>
          <w:sz w:val="28"/>
          <w:szCs w:val="28"/>
        </w:rPr>
        <w:t>процентов  жителей</w:t>
      </w:r>
      <w:proofErr w:type="gramEnd"/>
      <w:r w:rsidRPr="009F2107">
        <w:rPr>
          <w:rFonts w:ascii="Times New Roman" w:hAnsi="Times New Roman" w:cs="Times New Roman"/>
          <w:sz w:val="28"/>
          <w:szCs w:val="28"/>
        </w:rPr>
        <w:t xml:space="preserve"> сельского поселения, проживающих на соответствующей территории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Pr="009F2107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</w:t>
      </w:r>
      <w:r w:rsidRPr="009F2107">
        <w:rPr>
          <w:rFonts w:ascii="Times New Roman" w:hAnsi="Times New Roman" w:cs="Times New Roman"/>
          <w:sz w:val="28"/>
          <w:szCs w:val="28"/>
        </w:rPr>
        <w:lastRenderedPageBreak/>
        <w:t>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 Внесение инициативных </w:t>
      </w:r>
      <w:proofErr w:type="spellStart"/>
      <w:r w:rsidR="009F2107" w:rsidRPr="009F2107">
        <w:rPr>
          <w:rFonts w:ascii="Times New Roman" w:hAnsi="Times New Roman" w:cs="Times New Roman"/>
          <w:sz w:val="28"/>
          <w:szCs w:val="28"/>
        </w:rPr>
        <w:t>проектовв</w:t>
      </w:r>
      <w:proofErr w:type="spellEnd"/>
      <w:r w:rsidR="009F2107" w:rsidRPr="009F210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.2. 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proofErr w:type="gramStart"/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 xml:space="preserve">. Порядок рассмотрения инициативного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проектаадминистрацией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Информация о внесении инициативного проекта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опубликованию в </w:t>
      </w: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683A8D">
        <w:rPr>
          <w:rFonts w:ascii="Times New Roman" w:hAnsi="Times New Roman" w:cs="Times New Roman"/>
          <w:sz w:val="28"/>
          <w:szCs w:val="28"/>
          <w:highlight w:val="yellow"/>
        </w:rPr>
        <w:t>ВЕСТНИК</w:t>
      </w:r>
      <w:r w:rsidR="00FD3CE5">
        <w:rPr>
          <w:rFonts w:ascii="Times New Roman" w:hAnsi="Times New Roman" w:cs="Times New Roman"/>
          <w:sz w:val="28"/>
          <w:szCs w:val="28"/>
          <w:highlight w:val="yellow"/>
        </w:rPr>
        <w:t xml:space="preserve">Е  </w:t>
      </w:r>
      <w:r w:rsidRPr="00683A8D">
        <w:rPr>
          <w:rFonts w:ascii="Times New Roman" w:hAnsi="Times New Roman" w:cs="Times New Roman"/>
          <w:sz w:val="28"/>
          <w:szCs w:val="28"/>
          <w:highlight w:val="yellow"/>
        </w:rPr>
        <w:t xml:space="preserve"> КАК В УСТАВЕ»</w:t>
      </w:r>
      <w:r w:rsidRPr="00683A8D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достигшие шестнадцатилетнего возраста. Замечания и предложения представляются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Бутурлиновского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на соответствующие цели и (или) в соответствии с порядком составления и рассмотрения проекта бюджета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(внесения изменений в решение о бюджете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Администрация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вправе, а в случае, 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(городского) поселения или муниципального района,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По итогам конкурсного отбора с учетом итоговой оценки согласно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критериям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об объявлении инициативных проектов прошедшими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Инициатор проекта до начала его реализации за счет средств </w:t>
      </w:r>
      <w:r w:rsidR="00FA097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бюджета района обеспечивает внесение инициативных платежей в доход бюджета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BA2DFE">
        <w:rPr>
          <w:rFonts w:ascii="Times New Roman" w:hAnsi="Times New Roman" w:cs="Times New Roman"/>
          <w:sz w:val="28"/>
          <w:szCs w:val="28"/>
        </w:rPr>
        <w:lastRenderedPageBreak/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 Порядок опубликования и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размещенияв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"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Интернет"информации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.1. Информация о рассмотрении инициативного проекта администрацией</w:t>
      </w:r>
      <w:r w:rsidR="00BA2DFE" w:rsidRPr="00BA2DFE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«</w:t>
      </w:r>
      <w:r w:rsidRPr="00FD3CE5">
        <w:rPr>
          <w:rFonts w:ascii="Times New Roman" w:hAnsi="Times New Roman" w:cs="Times New Roman"/>
          <w:sz w:val="28"/>
          <w:szCs w:val="28"/>
          <w:highlight w:val="yellow"/>
        </w:rPr>
        <w:t>ВЕСТНИКЕ как в УСТАВЕ</w:t>
      </w:r>
      <w:r w:rsidRPr="00FD3CE5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Отчет администрации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об итогах реализации инициативного проекта подлежит опубликованию в «</w:t>
      </w:r>
      <w:r w:rsidRPr="00FD3CE5">
        <w:rPr>
          <w:rFonts w:ascii="Times New Roman" w:hAnsi="Times New Roman" w:cs="Times New Roman"/>
          <w:sz w:val="28"/>
          <w:szCs w:val="28"/>
          <w:highlight w:val="yellow"/>
        </w:rPr>
        <w:t xml:space="preserve">ВЕСТНИКЕ как в </w:t>
      </w:r>
      <w:proofErr w:type="gramStart"/>
      <w:r w:rsidRPr="00FD3CE5">
        <w:rPr>
          <w:rFonts w:ascii="Times New Roman" w:hAnsi="Times New Roman" w:cs="Times New Roman"/>
          <w:sz w:val="28"/>
          <w:szCs w:val="28"/>
          <w:highlight w:val="yellow"/>
        </w:rPr>
        <w:t>УСТАВЕ</w:t>
      </w:r>
      <w:r w:rsidRPr="00FD3CE5">
        <w:rPr>
          <w:rFonts w:ascii="Times New Roman" w:hAnsi="Times New Roman" w:cs="Times New Roman"/>
          <w:sz w:val="28"/>
          <w:szCs w:val="28"/>
        </w:rPr>
        <w:t>»  и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 w:rsidR="00BA2DFE">
        <w:rPr>
          <w:rFonts w:ascii="Times New Roman" w:hAnsi="Times New Roman" w:cs="Times New Roman"/>
          <w:sz w:val="28"/>
          <w:szCs w:val="28"/>
        </w:rPr>
        <w:t>Березовского</w:t>
      </w:r>
      <w:r w:rsidR="00BA2DFE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BA2DFE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D3CE5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 xml:space="preserve">Приложение N 1к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Порядк</w:t>
      </w:r>
      <w:proofErr w:type="spellEnd"/>
      <w:r w:rsidR="004E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увыдвижения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>, внесения,</w:t>
      </w:r>
      <w:r w:rsidR="004E3A19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4E3A19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4E3A19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в </w:t>
      </w:r>
      <w:r w:rsidR="004E3A19">
        <w:rPr>
          <w:rFonts w:ascii="Times New Roman" w:hAnsi="Times New Roman" w:cs="Times New Roman"/>
          <w:sz w:val="28"/>
          <w:szCs w:val="28"/>
        </w:rPr>
        <w:t xml:space="preserve">Березовском </w:t>
      </w:r>
      <w:r w:rsidRPr="00FD3CE5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95"/>
            <w:bookmarkEnd w:id="1"/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</w:t>
            </w:r>
            <w:proofErr w:type="gramEnd"/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(указывается территория, на которой собираются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(Ф.И.О., адрес делегата)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 xml:space="preserve">делегатом на </w:t>
            </w: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конференцию  жителей</w:t>
            </w:r>
            <w:proofErr w:type="gramEnd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(формулировка вопроса)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</w:t>
            </w:r>
            <w:proofErr w:type="gramEnd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уполномоченного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инициативной группы)</w:t>
            </w: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N 2к </w:t>
      </w:r>
      <w:proofErr w:type="spellStart"/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</w:t>
      </w:r>
      <w:proofErr w:type="spellEnd"/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увыдвижения</w:t>
      </w:r>
      <w:proofErr w:type="spellEnd"/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, внесения,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Березовского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2" w:name="P355"/>
            <w:bookmarkEnd w:id="2"/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  <w:proofErr w:type="gramEnd"/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</w:tbl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D3CE5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N 3к </w:t>
      </w:r>
      <w:proofErr w:type="spellStart"/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Порядкувыдвижения</w:t>
      </w:r>
      <w:proofErr w:type="spellEnd"/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, внесения,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E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Березовском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P419"/>
      <w:bookmarkEnd w:id="3"/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инициативный 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 включает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</w:t>
            </w: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75A"/>
    <w:rsid w:val="000055C3"/>
    <w:rsid w:val="00007A83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44E"/>
    <w:rsid w:val="00302F1D"/>
    <w:rsid w:val="00330181"/>
    <w:rsid w:val="00350B23"/>
    <w:rsid w:val="00357A90"/>
    <w:rsid w:val="0039544D"/>
    <w:rsid w:val="003D6C15"/>
    <w:rsid w:val="003D72ED"/>
    <w:rsid w:val="00405F9D"/>
    <w:rsid w:val="00451A18"/>
    <w:rsid w:val="00465BC4"/>
    <w:rsid w:val="004771D0"/>
    <w:rsid w:val="0048097A"/>
    <w:rsid w:val="004A03B9"/>
    <w:rsid w:val="004B42AA"/>
    <w:rsid w:val="004D0039"/>
    <w:rsid w:val="004D1F07"/>
    <w:rsid w:val="004D523E"/>
    <w:rsid w:val="004E3A19"/>
    <w:rsid w:val="004E4059"/>
    <w:rsid w:val="004F0F5F"/>
    <w:rsid w:val="004F54D8"/>
    <w:rsid w:val="004F7014"/>
    <w:rsid w:val="00526469"/>
    <w:rsid w:val="00535BBB"/>
    <w:rsid w:val="005425A5"/>
    <w:rsid w:val="00556585"/>
    <w:rsid w:val="0055760F"/>
    <w:rsid w:val="00567E9A"/>
    <w:rsid w:val="00580F38"/>
    <w:rsid w:val="005A4FCC"/>
    <w:rsid w:val="005A5BCB"/>
    <w:rsid w:val="005B1E7B"/>
    <w:rsid w:val="005B2ABE"/>
    <w:rsid w:val="005E46C1"/>
    <w:rsid w:val="005F5F4D"/>
    <w:rsid w:val="0060529D"/>
    <w:rsid w:val="00637C0F"/>
    <w:rsid w:val="00671500"/>
    <w:rsid w:val="00683A8D"/>
    <w:rsid w:val="00684E0B"/>
    <w:rsid w:val="006B1754"/>
    <w:rsid w:val="006B2824"/>
    <w:rsid w:val="006E1418"/>
    <w:rsid w:val="007023AB"/>
    <w:rsid w:val="007038C3"/>
    <w:rsid w:val="0071624D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83728"/>
    <w:rsid w:val="008A17FE"/>
    <w:rsid w:val="008C74C8"/>
    <w:rsid w:val="00910AD0"/>
    <w:rsid w:val="00915A37"/>
    <w:rsid w:val="00941A90"/>
    <w:rsid w:val="00941D5A"/>
    <w:rsid w:val="009672D9"/>
    <w:rsid w:val="00972CE0"/>
    <w:rsid w:val="009843B6"/>
    <w:rsid w:val="009B27F0"/>
    <w:rsid w:val="009F2107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660A"/>
    <w:rsid w:val="00B4783F"/>
    <w:rsid w:val="00B82FEF"/>
    <w:rsid w:val="00B90762"/>
    <w:rsid w:val="00BA2DFE"/>
    <w:rsid w:val="00BD3DCD"/>
    <w:rsid w:val="00BF4049"/>
    <w:rsid w:val="00C029AF"/>
    <w:rsid w:val="00C126E7"/>
    <w:rsid w:val="00C25F1F"/>
    <w:rsid w:val="00C43A8F"/>
    <w:rsid w:val="00CB00B7"/>
    <w:rsid w:val="00CB3BF7"/>
    <w:rsid w:val="00CC5500"/>
    <w:rsid w:val="00CD575A"/>
    <w:rsid w:val="00D17900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27A32"/>
    <w:rsid w:val="00F85BFF"/>
    <w:rsid w:val="00FA0976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A7397-D469-4329-A43B-0E3F820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C186-28B4-4125-8414-E678233A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2021-05-27T08:14:00Z</dcterms:created>
  <dcterms:modified xsi:type="dcterms:W3CDTF">2025-05-12T12:02:00Z</dcterms:modified>
</cp:coreProperties>
</file>